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阳光－YC2023－004-2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宜春学院新校区二期云数据中心设备项目（第二包）</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江西歆沁科技有限公司</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江西省宜春市袁州区锦绣大道218号国际商贸城102栋25号#1楼</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w:t>
      </w:r>
      <w:r>
        <w:rPr>
          <w:rFonts w:hint="eastAsia" w:ascii="仿宋" w:hAnsi="仿宋" w:eastAsia="仿宋"/>
          <w:sz w:val="28"/>
          <w:szCs w:val="28"/>
          <w:lang w:val="en-US" w:eastAsia="zh-CN"/>
        </w:rPr>
        <w:t>2</w:t>
      </w:r>
      <w:r>
        <w:rPr>
          <w:rFonts w:hint="eastAsia" w:ascii="仿宋" w:hAnsi="仿宋" w:eastAsia="仿宋"/>
          <w:sz w:val="28"/>
          <w:szCs w:val="28"/>
        </w:rPr>
        <w:t>：</w:t>
      </w:r>
      <w:r>
        <w:rPr>
          <w:rFonts w:hint="eastAsia" w:ascii="仿宋" w:hAnsi="仿宋" w:eastAsia="仿宋"/>
          <w:sz w:val="28"/>
          <w:szCs w:val="28"/>
          <w:u w:val="single"/>
        </w:rPr>
        <w:t>　宜春阳光招标代理有限公司</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lang w:val="en-US" w:eastAsia="zh-CN"/>
        </w:rPr>
        <w:t>江西省宜春市袁州区明月北路青云名仕花苑B栋11楼</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w:t>
      </w:r>
      <w:r>
        <w:rPr>
          <w:rFonts w:hint="eastAsia" w:ascii="仿宋" w:hAnsi="仿宋" w:eastAsia="仿宋"/>
          <w:sz w:val="28"/>
          <w:szCs w:val="28"/>
          <w:lang w:val="en-US" w:eastAsia="zh-CN"/>
        </w:rPr>
        <w:t>3</w:t>
      </w:r>
      <w:r>
        <w:rPr>
          <w:rFonts w:hint="eastAsia" w:ascii="仿宋" w:hAnsi="仿宋" w:eastAsia="仿宋"/>
          <w:sz w:val="28"/>
          <w:szCs w:val="28"/>
        </w:rPr>
        <w:t>：</w:t>
      </w:r>
      <w:r>
        <w:rPr>
          <w:rFonts w:hint="eastAsia" w:ascii="仿宋" w:hAnsi="仿宋" w:eastAsia="仿宋"/>
          <w:sz w:val="28"/>
          <w:szCs w:val="28"/>
          <w:u w:val="single"/>
        </w:rPr>
        <w:t>　　宜春学院</w:t>
      </w:r>
      <w:r>
        <w:rPr>
          <w:rFonts w:hint="eastAsia" w:ascii="仿宋" w:hAnsi="仿宋" w:eastAsia="仿宋"/>
          <w:sz w:val="28"/>
          <w:szCs w:val="28"/>
          <w:u w:val="single"/>
          <w:lang w:val="en-US" w:eastAsia="zh-CN"/>
        </w:rPr>
        <w:t xml:space="preserve">      </w:t>
      </w:r>
    </w:p>
    <w:p>
      <w:pPr>
        <w:ind w:firstLine="565" w:firstLineChars="202"/>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江西省宜春市袁州区学府路576号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投诉人因对被投诉人质疑答复不满意，于2023年6月29日向本机关提起投诉。本机关审查后依法受理，现已审查结束。该项目于2023年6月8日发布招标公告，于2023年6月30日流标。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投诉事项1：招标文件P88页中的技术评分中评审标准的存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储交换机部分：所投存储交换机支持端到端的丢包统计，当丢包达到阈值时可触发告警，支持PPPoE＋功能。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事实依据：该参数与实际使用场景不符且具有屏蔽性：其中</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技术参数“PPPoE＋功能”应用在运营商网络上对接AAA平台认证计费，主要用于认证计费场景，而本次项目是做存储交换机使用，主要用于数据中心存储场景，与实际使用需求完全不符：且经咨询华为、锐捷、中兴、H3C后，仅华为能够满足，其余均无满足该技术要求的产品。技术参数“支持端到端的丢包统计，当丢包达到阈值时触发告警，要求提供第三方机构出具的检测报告关键信息作为证明资料。”丢包达到阈值时可触发告警作为交换机的一项功能，经咨询华为、信锐、锐捷、中兴、H3C后，都能够实现但是仅华为有第三方检测报告，该功能国家相关部门并未强制要求作为入网必须实现功能，此处要求提供检测报告具有额外设置资格条款意图，明显指定华为品牌。我方认为此处以不合理的加分项排斥了除华为之外的所有潜在供应商，属于以不合理的条件对厂商实行差别待遇和歧视待遇，违背了政府所倡导的公开公平公正原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投诉事项2：招标文件P89页中的技术评分中评审标准的管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理交换机部分：所投管理交换机支持复位按钮和请配置按钮（PNP）；且机身自带ID指示灯，维护人员可以在后台点亮后去机房直接找到相对于设备，便于快速定位设备位置。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事实依据：该参数具有屏蔽性，由于不同厂商的产品差异很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大，每个厂家面板和灯设计各有不同；但该参数指定要求复位按钮和请配置按钮（PNP)，而目前主流复位和请配置操作都在交换机管理页面或Console接口复位，面板存在PNP虽然在某些场景比较适用，但也存在部分误操作风险，所以每个厂商的设计各有不同，经咨询华为、锐捷、中兴、H3C后，华为大部分型号都沿用了该设计且满足机身自带ID指示灯的要求，而其余厂商均不满尽，属于以不合理的条件对厂商实行差别待遇和歧视待遇，违背了政府所倡导的公开公平公正原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投诉事项3：招标文件P89页中的技术评分中评审标准的管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理交换机部分：所投管理交换机设备内置电池，可以在设备不上电时记录实时时间等信息，可以精确定位设备的异常时间，便于维护定位。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事实依据：该参数具有屏蔽性，精确定位设备的异常时间，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不是必须要交换机内置电池才可记录采集，通过网络管理平台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同样也能够实现记录设备异常时间，技术指标要求内置电池，从而来实现精确定位设备的异常时间，具有明确的指向性，同时断电之后管理交换机有UPS实现供电，内置电池交换机的实际意义非常小，经咨询华为、信锐、锐捷、中兴、H3C后，华为为业界首创的内置电池，同时也仅有其交换机有内置电池版本，而其余厂商均不满足，属于以不合理的条件对厂商实行差别待遇和歧视待遇，违背了政府所倡导的公开公平公正原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投诉事项4：招标文件P89页的商务评分中评审标准的厂商资质：近投交换机厂商具备信息安全服务资质(安全工程类)二级，信息系统安全集成服务资质认证、信息安全应急处理服务资质认证。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事实依据：该资质具有屏蔽性，经查阅各厂商官网资料及咨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询各厂商销售，目前具备信息安全服务资质(安全工程类）二级、信息系统安全集成服务资质认证、信息安全应急处理服务资质认证仅有H3C和华为满足，其余的信锐、锐捷、中兴、思科、迈普均不满足，属于以不合理的条件对厂商实行实行差别待遇和歧视待遇，违背了政府所倡导的公开公平公正原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被投诉人1、被投诉人2称：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文件已修改，为方便维护，所投存储交换机支持端到端的丢包统计，当丢包达到阈值时可触发告警，支持PPPoE+功能。完全满足得3分，未提供或不齐全不得分。评审依据：投标人须提供权威第三方测试报告和原厂参数确认函加盖制造商公章佐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文件已修改，所投管理交换机支持复位按钮和请配置按钮（PNP）；且机身自带ID指示灯，维护人员可以在后台点亮后去机房直接找到相对于设备，便于快速定位设备位置；完全满足得2分，未提供或不齐全不得分。评审依据：提供官网产品文档手册（附官网链接）和原厂参数确认函加盖制造商公章佐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3：文件已修改，所投管理交换机设备内置电池，可以在设备不上电时记录实时时间等信息，可以精确定位设备的异常时间，便于维护定位；完全满足得2分，未提供或不齐全不得分。评审依据：提供官网产品文档手册（附官网链接）和原厂参数确认函加盖制造商公章佐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投诉事项4：文件已修改，此项已删除。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政府采购质疑和投诉办法》（财政部令第94号）第二十五条之规定，被投诉人未按照投诉答复通知书要求提交相关证据、依据和其他有关材料的，视同其放弃说明权利，依法承担不利后果。综上，鉴于被投诉人接受投诉人意见且未提出其他异议，已修改招标文件，投诉事项1、2、3、4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以上事实有下列证据为证：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1.江西歆沁科技有限公司《投诉书》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2.宜春学院《关于宜春学院新校区二期云数据中心设备项目（第二包）（编号：阳光-YC2023-004-2）投诉答复函》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 xml:space="preserve">3.宜春学院新校区二期云数据中心设备项目（第二次）招标文件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4.宜春阳光招标咨询有限公司关于宜春学院新校区二期云数据中心设备项目（招标编号：阳光-YC2023-004-2）电子化公开招标公告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28"/>
          <w:u w:val="none"/>
        </w:rPr>
      </w:pPr>
      <w:r>
        <w:rPr>
          <w:rFonts w:hint="eastAsia" w:ascii="仿宋_GB2312" w:hAnsi="仿宋_GB2312" w:eastAsia="仿宋_GB2312" w:cs="仿宋_GB2312"/>
          <w:sz w:val="28"/>
          <w:szCs w:val="28"/>
          <w:u w:val="none"/>
        </w:rPr>
        <w:t>5.宜春阳光招标咨询有限公司关于宜春学院新校区二期云数据中心设备项目（第二包）（项目编号：阳光-YC2023-004-2）废标公告</w:t>
      </w:r>
      <w:r>
        <w:rPr>
          <w:rFonts w:hint="eastAsia" w:ascii="黑体" w:hAnsi="黑体" w:eastAsia="黑体" w:cs="黑体"/>
          <w:sz w:val="28"/>
          <w:szCs w:val="28"/>
          <w:u w:val="none"/>
        </w:rPr>
        <w:t>五、处理依据及结果</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依据《政府采购质疑和投诉办法》（财政部令第94号）第三十一条第一款第（一）项之规定，本机关决定：投诉事项1、2、3、4成立，责令采购人修改采购文件后，重新开展采购活动。</w:t>
      </w:r>
    </w:p>
    <w:p>
      <w:pPr>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_GB2312" w:hAnsi="仿宋_GB2312" w:eastAsia="仿宋_GB2312" w:cs="仿宋_GB2312"/>
          <w:sz w:val="28"/>
          <w:szCs w:val="28"/>
          <w:u w:val="none"/>
        </w:rPr>
        <w:t>如对上述处理决定不</w:t>
      </w:r>
      <w:bookmarkStart w:id="2" w:name="_GoBack"/>
      <w:bookmarkEnd w:id="2"/>
      <w:r>
        <w:rPr>
          <w:rFonts w:hint="eastAsia" w:ascii="仿宋_GB2312" w:hAnsi="仿宋_GB2312" w:eastAsia="仿宋_GB2312" w:cs="仿宋_GB2312"/>
          <w:sz w:val="28"/>
          <w:szCs w:val="28"/>
          <w:u w:val="none"/>
        </w:rPr>
        <w:t>服，当事人可在收到本决定书起60日内依法向宜春市人民政府申请行政复议或者六个月内依法向人民法院提起行政诉讼。</w:t>
      </w: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8</w:t>
      </w:r>
      <w:r>
        <w:rPr>
          <w:rFonts w:hint="eastAsia" w:ascii="仿宋" w:hAnsi="仿宋" w:eastAsia="仿宋"/>
          <w:sz w:val="28"/>
          <w:szCs w:val="28"/>
        </w:rPr>
        <w:t>月</w:t>
      </w:r>
      <w:r>
        <w:rPr>
          <w:rFonts w:hint="eastAsia" w:ascii="仿宋" w:hAnsi="仿宋" w:eastAsia="仿宋"/>
          <w:sz w:val="28"/>
          <w:szCs w:val="28"/>
          <w:lang w:val="en-US" w:eastAsia="zh-CN"/>
        </w:rPr>
        <w:t>4</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CC84349"/>
    <w:rsid w:val="217C6D52"/>
    <w:rsid w:val="24A0641F"/>
    <w:rsid w:val="25297DD9"/>
    <w:rsid w:val="37F73E46"/>
    <w:rsid w:val="3FC438CC"/>
    <w:rsid w:val="494A433D"/>
    <w:rsid w:val="4BDC21EF"/>
    <w:rsid w:val="4DC501DE"/>
    <w:rsid w:val="52261F6F"/>
    <w:rsid w:val="624618AF"/>
    <w:rsid w:val="74C571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2358</Words>
  <Characters>2440</Characters>
  <Lines>57</Lines>
  <Paragraphs>16</Paragraphs>
  <TotalTime>1</TotalTime>
  <ScaleCrop>false</ScaleCrop>
  <LinksUpToDate>false</LinksUpToDate>
  <CharactersWithSpaces>2556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2023-09-01T07:46:27Z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E18D1872EEA045C49A9B48A870252611_13</vt:lpwstr>
  </property>
</Properties>
</file>